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A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36606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. </w:t>
      </w:r>
      <w:r w:rsidRPr="00E86BA6">
        <w:rPr>
          <w:sz w:val="28"/>
          <w:szCs w:val="28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кружка.  </w:t>
      </w:r>
    </w:p>
    <w:p w:rsidR="00E6747A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6CA">
        <w:rPr>
          <w:sz w:val="28"/>
          <w:szCs w:val="28"/>
        </w:rPr>
        <w:t>Экологическое образование и воспитание учащихся - это не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дань моде, а веление времени, продиктованное самой жизнью: для того, чтобы сегодня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выжить и обеспечить существование человека в будущем, нынешнему поколению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необходимо овладеть экологическими ценностями и в соответствии с ними строить свои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взаимоотношения с окружающим миром. Экологическое образование подрастающего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поколения становится одной из главных задач, стоящих перед обществом. Чтобы избежать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неблагоприятного влияния на экологию, чтобы не делать экологических ошибок, не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создавать ситуаций опасных для здоровья и жизни, современный человек должен обладать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элементарными экологическими знаниями и новым экологическим типом мышления. И в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этом важная роль отводится общеобразовательной школе, которая, вооружая детей</w:t>
      </w:r>
      <w:r>
        <w:rPr>
          <w:sz w:val="28"/>
          <w:szCs w:val="28"/>
        </w:rPr>
        <w:t xml:space="preserve"> </w:t>
      </w:r>
      <w:r w:rsidRPr="003326CA">
        <w:rPr>
          <w:sz w:val="28"/>
          <w:szCs w:val="28"/>
        </w:rPr>
        <w:t>современными знаниями и жизненным опытом, по существу работает на будущее.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экологической культуры учащихся.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b/>
          <w:sz w:val="28"/>
          <w:szCs w:val="28"/>
        </w:rPr>
        <w:t>Задачи:</w:t>
      </w:r>
      <w:r w:rsidRPr="00E86BA6">
        <w:rPr>
          <w:sz w:val="28"/>
          <w:szCs w:val="28"/>
        </w:rPr>
        <w:t xml:space="preserve">       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b/>
          <w:sz w:val="28"/>
          <w:szCs w:val="28"/>
        </w:rPr>
      </w:pPr>
      <w:r w:rsidRPr="00E86BA6">
        <w:rPr>
          <w:sz w:val="28"/>
          <w:szCs w:val="28"/>
        </w:rPr>
        <w:t>развитие познавательного интереса учащихся, их творческой активности;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воспитание понимания эстетической ценности природы;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lastRenderedPageBreak/>
        <w:t>развитие любознательности и желания получать знания об окружающем мире;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формирование положительного отношения к окружающему миру;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нравственное развитие личности, воспитание чувств;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E86BA6">
        <w:rPr>
          <w:sz w:val="28"/>
          <w:szCs w:val="28"/>
        </w:rPr>
        <w:t xml:space="preserve"> учащихся пользоваться научной литературой;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</w:t>
      </w:r>
      <w:r w:rsidRPr="00E86BA6">
        <w:rPr>
          <w:sz w:val="28"/>
          <w:szCs w:val="28"/>
        </w:rPr>
        <w:t>люб</w:t>
      </w:r>
      <w:r>
        <w:rPr>
          <w:sz w:val="28"/>
          <w:szCs w:val="28"/>
        </w:rPr>
        <w:t xml:space="preserve">ви к </w:t>
      </w:r>
      <w:r w:rsidRPr="00E86BA6">
        <w:rPr>
          <w:sz w:val="28"/>
          <w:szCs w:val="28"/>
        </w:rPr>
        <w:t>природ</w:t>
      </w:r>
      <w:r>
        <w:rPr>
          <w:sz w:val="28"/>
          <w:szCs w:val="28"/>
        </w:rPr>
        <w:t>е</w:t>
      </w:r>
      <w:r w:rsidRPr="00E86BA6">
        <w:rPr>
          <w:sz w:val="28"/>
          <w:szCs w:val="28"/>
        </w:rPr>
        <w:t>, правильно её использовать;</w:t>
      </w:r>
    </w:p>
    <w:p w:rsidR="00E6747A" w:rsidRPr="00E86BA6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раскрытие творческих способностей, воображения и фантазии;</w:t>
      </w:r>
    </w:p>
    <w:p w:rsidR="00E6747A" w:rsidRPr="003326CA" w:rsidRDefault="00E6747A" w:rsidP="00E6747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воспитание трудолюбия, развитие умений работать с текстом, рисунками, природным материалом.</w:t>
      </w:r>
    </w:p>
    <w:p w:rsidR="00E6747A" w:rsidRPr="007C3026" w:rsidRDefault="00E6747A" w:rsidP="00E6747A">
      <w:pPr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7C3026">
        <w:rPr>
          <w:b/>
          <w:bCs/>
          <w:sz w:val="28"/>
          <w:szCs w:val="28"/>
        </w:rPr>
        <w:t>Адресат программы: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кружк</w:t>
      </w:r>
      <w:proofErr w:type="gramStart"/>
      <w:r>
        <w:rPr>
          <w:sz w:val="28"/>
          <w:szCs w:val="28"/>
        </w:rPr>
        <w:t>а-</w:t>
      </w:r>
      <w:proofErr w:type="gramEnd"/>
      <w:r w:rsidRPr="003326CA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иеся</w:t>
      </w:r>
      <w:r w:rsidRPr="003326C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326CA">
        <w:rPr>
          <w:sz w:val="28"/>
          <w:szCs w:val="28"/>
        </w:rPr>
        <w:t xml:space="preserve">-13 лет. </w:t>
      </w:r>
      <w:r>
        <w:rPr>
          <w:sz w:val="28"/>
          <w:szCs w:val="28"/>
        </w:rPr>
        <w:t xml:space="preserve">Программа  предоставляет возможность всем желающим заниматься независимо от возрастных и индивидуальных особенностей группы обучения могут быть как одного возраста, так и разновозрастные. </w:t>
      </w:r>
    </w:p>
    <w:p w:rsidR="00E6747A" w:rsidRPr="007C3026" w:rsidRDefault="00E6747A" w:rsidP="00E6747A">
      <w:pPr>
        <w:spacing w:line="360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7C3026">
        <w:rPr>
          <w:b/>
          <w:bCs/>
          <w:i/>
          <w:iCs/>
          <w:sz w:val="28"/>
          <w:szCs w:val="28"/>
        </w:rPr>
        <w:t>Объём и срок реализации программы</w:t>
      </w:r>
    </w:p>
    <w:p w:rsidR="00E6747A" w:rsidRDefault="00E6747A" w:rsidP="00E6747A">
      <w:pPr>
        <w:tabs>
          <w:tab w:val="left" w:pos="118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 учебный  год (36 рабочих недель в учебный год, 1 год обучения- 72 часа, 2 </w:t>
      </w:r>
      <w:r w:rsidRPr="001E47CD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>).</w:t>
      </w:r>
    </w:p>
    <w:p w:rsidR="00E6747A" w:rsidRDefault="00E6747A" w:rsidP="00E6747A">
      <w:pPr>
        <w:tabs>
          <w:tab w:val="left" w:pos="1185"/>
        </w:tabs>
        <w:ind w:left="-567" w:firstLine="567"/>
        <w:jc w:val="both"/>
        <w:rPr>
          <w:sz w:val="28"/>
          <w:szCs w:val="28"/>
        </w:rPr>
      </w:pPr>
    </w:p>
    <w:p w:rsidR="00E6747A" w:rsidRPr="007C3026" w:rsidRDefault="00E6747A" w:rsidP="00E6747A">
      <w:pPr>
        <w:spacing w:line="360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7C3026">
        <w:rPr>
          <w:b/>
          <w:bCs/>
          <w:i/>
          <w:iCs/>
          <w:sz w:val="28"/>
          <w:szCs w:val="28"/>
        </w:rPr>
        <w:t>Особенности организации образовательного процесса</w:t>
      </w:r>
    </w:p>
    <w:p w:rsidR="00E6747A" w:rsidRPr="003326CA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6CA">
        <w:rPr>
          <w:sz w:val="28"/>
          <w:szCs w:val="28"/>
        </w:rPr>
        <w:t xml:space="preserve">Работа с детьми по данной программе проводится в групповой форме. Состав группы постоянный. Наполняемость группы </w:t>
      </w:r>
      <w:r>
        <w:rPr>
          <w:sz w:val="28"/>
          <w:szCs w:val="28"/>
        </w:rPr>
        <w:t>до</w:t>
      </w:r>
      <w:r w:rsidRPr="003326CA">
        <w:rPr>
          <w:sz w:val="28"/>
          <w:szCs w:val="28"/>
        </w:rPr>
        <w:t>15 человек.</w:t>
      </w:r>
    </w:p>
    <w:p w:rsidR="00E6747A" w:rsidRPr="007C3026" w:rsidRDefault="00E6747A" w:rsidP="00E6747A">
      <w:pPr>
        <w:spacing w:line="360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7C3026">
        <w:rPr>
          <w:b/>
          <w:bCs/>
          <w:i/>
          <w:iCs/>
          <w:sz w:val="28"/>
          <w:szCs w:val="28"/>
        </w:rPr>
        <w:t>Режим занятий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6CA">
        <w:rPr>
          <w:sz w:val="28"/>
          <w:szCs w:val="28"/>
        </w:rPr>
        <w:t xml:space="preserve">Занятия по программе </w:t>
      </w:r>
      <w:r>
        <w:rPr>
          <w:sz w:val="28"/>
          <w:szCs w:val="28"/>
        </w:rPr>
        <w:t xml:space="preserve">«Цифровая экология» </w:t>
      </w:r>
      <w:r w:rsidRPr="003326CA">
        <w:rPr>
          <w:sz w:val="28"/>
          <w:szCs w:val="28"/>
        </w:rPr>
        <w:t>проводятся 2 раза в неделю, продолжительностью 4</w:t>
      </w:r>
      <w:r>
        <w:rPr>
          <w:sz w:val="28"/>
          <w:szCs w:val="28"/>
        </w:rPr>
        <w:t xml:space="preserve">0 минут. </w:t>
      </w:r>
      <w:r w:rsidRPr="002B6C9F">
        <w:rPr>
          <w:sz w:val="28"/>
          <w:szCs w:val="28"/>
        </w:rPr>
        <w:t xml:space="preserve">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B6C9F">
        <w:rPr>
          <w:sz w:val="28"/>
          <w:szCs w:val="28"/>
        </w:rPr>
        <w:lastRenderedPageBreak/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B6C9F">
        <w:rPr>
          <w:sz w:val="28"/>
          <w:szCs w:val="28"/>
        </w:rPr>
        <w:t>Режим занятий:</w:t>
      </w:r>
    </w:p>
    <w:p w:rsidR="00E6747A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B6C9F">
        <w:rPr>
          <w:sz w:val="28"/>
          <w:szCs w:val="28"/>
        </w:rPr>
        <w:t>2 раза в неделю по 1 часу – 72 часа в год.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 xml:space="preserve">Использование </w:t>
      </w:r>
      <w:proofErr w:type="spellStart"/>
      <w:r w:rsidRPr="002B6C9F">
        <w:rPr>
          <w:b/>
          <w:i/>
          <w:sz w:val="28"/>
          <w:szCs w:val="28"/>
        </w:rPr>
        <w:t>здоровьесберегающих</w:t>
      </w:r>
      <w:proofErr w:type="spellEnd"/>
      <w:r w:rsidRPr="002B6C9F">
        <w:rPr>
          <w:b/>
          <w:i/>
          <w:sz w:val="28"/>
          <w:szCs w:val="28"/>
        </w:rPr>
        <w:t xml:space="preserve"> технологий в реализации программы:</w:t>
      </w:r>
    </w:p>
    <w:tbl>
      <w:tblPr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2409"/>
        <w:gridCol w:w="3119"/>
        <w:gridCol w:w="2126"/>
      </w:tblGrid>
      <w:tr w:rsidR="00E6747A" w:rsidRPr="002B6C9F" w:rsidTr="00BA6A51">
        <w:trPr>
          <w:trHeight w:val="20"/>
        </w:trPr>
        <w:tc>
          <w:tcPr>
            <w:tcW w:w="283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>Виды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педагогических технологий</w:t>
            </w:r>
          </w:p>
        </w:tc>
        <w:tc>
          <w:tcPr>
            <w:tcW w:w="240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311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212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6747A" w:rsidRPr="002B6C9F" w:rsidTr="00BA6A51">
        <w:trPr>
          <w:trHeight w:val="20"/>
        </w:trPr>
        <w:tc>
          <w:tcPr>
            <w:tcW w:w="283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Динамические паузы</w:t>
            </w:r>
          </w:p>
        </w:tc>
        <w:tc>
          <w:tcPr>
            <w:tcW w:w="240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Во время занятий, 2-5 мин., по мере утомляемости учащихся.</w:t>
            </w:r>
          </w:p>
        </w:tc>
        <w:tc>
          <w:tcPr>
            <w:tcW w:w="311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 xml:space="preserve">Рекомендуется для всех учащихся в качестве профилактики утомления. 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B6C9F">
              <w:rPr>
                <w:rFonts w:eastAsia="Calibri"/>
                <w:sz w:val="28"/>
                <w:szCs w:val="28"/>
                <w:lang w:eastAsia="en-US"/>
              </w:rPr>
              <w:t>Могут включать в себя элементы музыкальных пауз, дыхательной</w:t>
            </w:r>
            <w:proofErr w:type="gramEnd"/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гимнастики и других.</w:t>
            </w:r>
          </w:p>
        </w:tc>
        <w:tc>
          <w:tcPr>
            <w:tcW w:w="212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Педагог</w:t>
            </w:r>
          </w:p>
        </w:tc>
      </w:tr>
      <w:tr w:rsidR="00E6747A" w:rsidRPr="002B6C9F" w:rsidTr="00BA6A51">
        <w:trPr>
          <w:trHeight w:val="20"/>
        </w:trPr>
        <w:tc>
          <w:tcPr>
            <w:tcW w:w="283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Гимнастика для глаз</w:t>
            </w:r>
          </w:p>
        </w:tc>
        <w:tc>
          <w:tcPr>
            <w:tcW w:w="240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 xml:space="preserve">По 1-2 мин. 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Во время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занятий в зависимости от интенсивности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зрительной нагрузки</w:t>
            </w:r>
          </w:p>
        </w:tc>
        <w:tc>
          <w:tcPr>
            <w:tcW w:w="311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Рекомендуется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использовать наглядный материал, показ педагога</w:t>
            </w:r>
          </w:p>
        </w:tc>
        <w:tc>
          <w:tcPr>
            <w:tcW w:w="212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Педагог</w:t>
            </w:r>
          </w:p>
        </w:tc>
      </w:tr>
      <w:tr w:rsidR="00E6747A" w:rsidRPr="002B6C9F" w:rsidTr="00BA6A51">
        <w:trPr>
          <w:trHeight w:val="20"/>
        </w:trPr>
        <w:tc>
          <w:tcPr>
            <w:tcW w:w="283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firstLine="142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lastRenderedPageBreak/>
              <w:t>Релаксация</w:t>
            </w:r>
          </w:p>
        </w:tc>
        <w:tc>
          <w:tcPr>
            <w:tcW w:w="240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В зависимости от состояния учащихся и целей, педагог</w:t>
            </w:r>
          </w:p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определяет интенсивность технологии.</w:t>
            </w:r>
          </w:p>
        </w:tc>
        <w:tc>
          <w:tcPr>
            <w:tcW w:w="3119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Использовать спокойную классическую музыку (Чайковский, звуки природы).</w:t>
            </w:r>
          </w:p>
        </w:tc>
        <w:tc>
          <w:tcPr>
            <w:tcW w:w="2126" w:type="dxa"/>
            <w:shd w:val="clear" w:color="auto" w:fill="auto"/>
          </w:tcPr>
          <w:p w:rsidR="00E6747A" w:rsidRPr="002B6C9F" w:rsidRDefault="00E6747A" w:rsidP="00BA6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C9F">
              <w:rPr>
                <w:rFonts w:eastAsia="Calibri"/>
                <w:sz w:val="28"/>
                <w:szCs w:val="28"/>
                <w:lang w:eastAsia="en-US"/>
              </w:rPr>
              <w:t>Педагог</w:t>
            </w:r>
          </w:p>
        </w:tc>
      </w:tr>
    </w:tbl>
    <w:p w:rsidR="00E6747A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6747A" w:rsidRDefault="00E6747A" w:rsidP="00E6747A">
      <w:pPr>
        <w:tabs>
          <w:tab w:val="left" w:pos="1185"/>
        </w:tabs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обучения и виды занятий</w:t>
      </w:r>
    </w:p>
    <w:p w:rsidR="00E6747A" w:rsidRDefault="00E6747A" w:rsidP="00E6747A">
      <w:pPr>
        <w:tabs>
          <w:tab w:val="left" w:pos="1185"/>
        </w:tabs>
        <w:ind w:left="-567" w:firstLine="567"/>
        <w:jc w:val="both"/>
        <w:rPr>
          <w:b/>
          <w:i/>
          <w:sz w:val="28"/>
          <w:szCs w:val="28"/>
        </w:rPr>
      </w:pPr>
    </w:p>
    <w:p w:rsidR="00E6747A" w:rsidRDefault="00E6747A" w:rsidP="00E6747A">
      <w:pPr>
        <w:tabs>
          <w:tab w:val="left" w:pos="1185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решения задач используется комплекс педагогических технологий, которые помогают сделать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–воспитательную деятельность более интенсивной, дифференцированной и гибкой. </w:t>
      </w:r>
      <w:proofErr w:type="gramStart"/>
      <w:r>
        <w:rPr>
          <w:sz w:val="28"/>
          <w:szCs w:val="28"/>
        </w:rPr>
        <w:t>Успешно реализуются такие формы занятий, как моделирование проблемных ситуаций, игра-конкурс, викторина, экскурсия, наблюдение, беседа, дискуссия, ток-шоу, театрализация, защита проектов и другие.</w:t>
      </w:r>
      <w:proofErr w:type="gramEnd"/>
      <w:r>
        <w:rPr>
          <w:sz w:val="28"/>
          <w:szCs w:val="28"/>
        </w:rPr>
        <w:t xml:space="preserve"> В процессе образовательной деятельности предполагается взаимосвязь теоретических и практических видов деятельности, сочетание коллективной, групповой и индивидуальной работы. </w:t>
      </w:r>
    </w:p>
    <w:p w:rsidR="00E6747A" w:rsidRPr="002B6C9F" w:rsidRDefault="00E6747A" w:rsidP="00E6747A">
      <w:pPr>
        <w:spacing w:line="360" w:lineRule="auto"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Основные направления работы по программе: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E86BA6">
        <w:rPr>
          <w:b/>
          <w:i/>
          <w:sz w:val="28"/>
          <w:szCs w:val="28"/>
        </w:rPr>
        <w:t>познавательно-исследовательское:</w:t>
      </w:r>
    </w:p>
    <w:p w:rsidR="00E6747A" w:rsidRPr="00E86BA6" w:rsidRDefault="00E6747A" w:rsidP="00E6747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подготовка исследовательских</w:t>
      </w:r>
      <w:r>
        <w:rPr>
          <w:sz w:val="28"/>
          <w:szCs w:val="28"/>
        </w:rPr>
        <w:t xml:space="preserve"> проектов;</w:t>
      </w:r>
      <w:r w:rsidRPr="00E86BA6">
        <w:rPr>
          <w:sz w:val="28"/>
          <w:szCs w:val="28"/>
        </w:rPr>
        <w:t xml:space="preserve"> 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E86BA6">
        <w:rPr>
          <w:b/>
          <w:i/>
          <w:sz w:val="28"/>
          <w:szCs w:val="28"/>
        </w:rPr>
        <w:t>духовно-творческое:</w:t>
      </w:r>
    </w:p>
    <w:p w:rsidR="00E6747A" w:rsidRDefault="00E6747A" w:rsidP="00E6747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выставки рисунков;</w:t>
      </w:r>
    </w:p>
    <w:p w:rsidR="00E6747A" w:rsidRDefault="00E6747A" w:rsidP="00E6747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фотовыставки</w:t>
      </w:r>
      <w:r>
        <w:rPr>
          <w:sz w:val="28"/>
          <w:szCs w:val="28"/>
        </w:rPr>
        <w:t>;</w:t>
      </w:r>
    </w:p>
    <w:p w:rsidR="00E6747A" w:rsidRDefault="00E6747A" w:rsidP="00E6747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театрализованные представления</w:t>
      </w:r>
      <w:r>
        <w:rPr>
          <w:sz w:val="28"/>
          <w:szCs w:val="28"/>
        </w:rPr>
        <w:t>;</w:t>
      </w:r>
    </w:p>
    <w:p w:rsidR="00E6747A" w:rsidRPr="0004114A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04114A">
        <w:rPr>
          <w:b/>
          <w:i/>
          <w:sz w:val="28"/>
          <w:szCs w:val="28"/>
        </w:rPr>
        <w:t>просветительское:</w:t>
      </w:r>
    </w:p>
    <w:p w:rsidR="00E6747A" w:rsidRDefault="00E6747A" w:rsidP="00E6747A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 xml:space="preserve">тематических </w:t>
      </w:r>
      <w:r w:rsidRPr="00E86BA6">
        <w:rPr>
          <w:sz w:val="28"/>
          <w:szCs w:val="28"/>
        </w:rPr>
        <w:t>экскурсий</w:t>
      </w:r>
      <w:r>
        <w:rPr>
          <w:sz w:val="28"/>
          <w:szCs w:val="28"/>
        </w:rPr>
        <w:t xml:space="preserve"> по изучению природы родного края;</w:t>
      </w:r>
    </w:p>
    <w:p w:rsidR="00E6747A" w:rsidRPr="0045149A" w:rsidRDefault="00E6747A" w:rsidP="00E6747A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Pr="00E86BA6">
        <w:rPr>
          <w:sz w:val="28"/>
          <w:szCs w:val="28"/>
        </w:rPr>
        <w:t xml:space="preserve">листовок, плакатов </w:t>
      </w:r>
      <w:r>
        <w:rPr>
          <w:sz w:val="28"/>
          <w:szCs w:val="28"/>
        </w:rPr>
        <w:t>на экологическую тему</w:t>
      </w:r>
      <w:r w:rsidRPr="00E86BA6">
        <w:rPr>
          <w:sz w:val="28"/>
          <w:szCs w:val="28"/>
        </w:rPr>
        <w:t xml:space="preserve">; </w:t>
      </w:r>
    </w:p>
    <w:p w:rsidR="00E6747A" w:rsidRDefault="00E6747A" w:rsidP="00E6747A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агитбригады перед учащимися начальной школы;</w:t>
      </w:r>
    </w:p>
    <w:p w:rsidR="00E6747A" w:rsidRPr="0004114A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04114A">
        <w:rPr>
          <w:b/>
          <w:i/>
          <w:sz w:val="28"/>
          <w:szCs w:val="28"/>
        </w:rPr>
        <w:t>природоохранное:</w:t>
      </w:r>
    </w:p>
    <w:p w:rsidR="00E6747A" w:rsidRDefault="00E6747A" w:rsidP="00E6747A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 xml:space="preserve">уход за </w:t>
      </w:r>
      <w:r>
        <w:rPr>
          <w:sz w:val="28"/>
          <w:szCs w:val="28"/>
        </w:rPr>
        <w:t>комнатными растениями;</w:t>
      </w:r>
      <w:r w:rsidRPr="00E86BA6">
        <w:rPr>
          <w:sz w:val="28"/>
          <w:szCs w:val="28"/>
        </w:rPr>
        <w:t xml:space="preserve"> </w:t>
      </w:r>
    </w:p>
    <w:p w:rsidR="00E6747A" w:rsidRDefault="00E6747A" w:rsidP="00E6747A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изготовление скворечников и кормушек</w:t>
      </w:r>
      <w:r>
        <w:rPr>
          <w:sz w:val="28"/>
          <w:szCs w:val="28"/>
        </w:rPr>
        <w:t>;</w:t>
      </w:r>
    </w:p>
    <w:p w:rsidR="00E6747A" w:rsidRPr="0045149A" w:rsidRDefault="00E6747A" w:rsidP="00E6747A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птиц;</w:t>
      </w:r>
    </w:p>
    <w:p w:rsidR="00E6747A" w:rsidRPr="0004114A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04114A">
        <w:rPr>
          <w:b/>
          <w:i/>
          <w:sz w:val="28"/>
          <w:szCs w:val="28"/>
        </w:rPr>
        <w:t>туристско-оздоровительные:</w:t>
      </w:r>
    </w:p>
    <w:p w:rsidR="00E6747A" w:rsidRDefault="00E6747A" w:rsidP="00E6747A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здоровья;</w:t>
      </w:r>
    </w:p>
    <w:p w:rsidR="00E6747A" w:rsidRDefault="00E6747A" w:rsidP="00E6747A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Практикумы экологически грамотного покупателя;</w:t>
      </w:r>
    </w:p>
    <w:p w:rsidR="00E6747A" w:rsidRPr="002B6C9F" w:rsidRDefault="00E6747A" w:rsidP="00E6747A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Формы, методы и средства организации экологического воспитания: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а) традиционные;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б) активные;</w:t>
      </w:r>
    </w:p>
    <w:p w:rsidR="00E6747A" w:rsidRPr="00E86BA6" w:rsidRDefault="00E6747A" w:rsidP="00E6747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86BA6">
        <w:rPr>
          <w:sz w:val="28"/>
          <w:szCs w:val="28"/>
        </w:rPr>
        <w:t>в) инновационные.</w:t>
      </w:r>
    </w:p>
    <w:p w:rsidR="00E6747A" w:rsidRDefault="00E6747A" w:rsidP="00E6747A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E6747A" w:rsidRPr="008A7086" w:rsidRDefault="00E6747A" w:rsidP="00E6747A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2B6C9F">
        <w:rPr>
          <w:rFonts w:eastAsia="Calibri"/>
          <w:b/>
          <w:i/>
          <w:sz w:val="28"/>
          <w:szCs w:val="28"/>
          <w:lang w:eastAsia="en-US"/>
        </w:rPr>
        <w:t>Личностными результатами</w:t>
      </w:r>
      <w:r w:rsidRPr="008A7086">
        <w:rPr>
          <w:rFonts w:eastAsia="Calibri"/>
          <w:sz w:val="28"/>
          <w:szCs w:val="28"/>
          <w:lang w:eastAsia="en-US"/>
        </w:rPr>
        <w:t xml:space="preserve"> при изучении курса «Цифровая экология</w:t>
      </w:r>
      <w:proofErr w:type="gramStart"/>
      <w:r w:rsidRPr="008A7086">
        <w:rPr>
          <w:rFonts w:eastAsia="Calibri"/>
          <w:sz w:val="28"/>
          <w:szCs w:val="28"/>
          <w:lang w:eastAsia="en-US"/>
        </w:rPr>
        <w:t>»я</w:t>
      </w:r>
      <w:proofErr w:type="gramEnd"/>
      <w:r w:rsidRPr="008A7086">
        <w:rPr>
          <w:rFonts w:eastAsia="Calibri"/>
          <w:sz w:val="28"/>
          <w:szCs w:val="28"/>
          <w:lang w:eastAsia="en-US"/>
        </w:rPr>
        <w:t xml:space="preserve">вляются:                                                                                                                        1) воспитание патриотизма, любви и уважения к Отечеству, чувства гордости за свою Родину;                                                                                                                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3) формирование ценности здорового и безопасного образа жизни;                         4) формирование основ экологического сознания на основе признания </w:t>
      </w:r>
      <w:r w:rsidRPr="008A7086">
        <w:rPr>
          <w:rFonts w:eastAsia="Calibri"/>
          <w:sz w:val="28"/>
          <w:szCs w:val="28"/>
          <w:lang w:eastAsia="en-US"/>
        </w:rPr>
        <w:lastRenderedPageBreak/>
        <w:t>ценности жизни во всех её проявлениях и необходимости ответственного, бережного отношения к окружающей среде;                                                            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</w:t>
      </w:r>
    </w:p>
    <w:p w:rsidR="00E6747A" w:rsidRPr="008A7086" w:rsidRDefault="00E6747A" w:rsidP="00E6747A">
      <w:pPr>
        <w:tabs>
          <w:tab w:val="left" w:pos="567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proofErr w:type="spellStart"/>
      <w:r w:rsidRPr="002B6C9F">
        <w:rPr>
          <w:rFonts w:eastAsia="Calibri"/>
          <w:b/>
          <w:i/>
          <w:sz w:val="28"/>
          <w:szCs w:val="28"/>
          <w:lang w:eastAsia="en-US"/>
        </w:rPr>
        <w:t>Метапредметные</w:t>
      </w:r>
      <w:proofErr w:type="spellEnd"/>
      <w:r w:rsidRPr="002B6C9F">
        <w:rPr>
          <w:rFonts w:eastAsia="Calibri"/>
          <w:b/>
          <w:i/>
          <w:sz w:val="28"/>
          <w:szCs w:val="28"/>
          <w:lang w:eastAsia="en-US"/>
        </w:rPr>
        <w:t xml:space="preserve"> результаты</w:t>
      </w:r>
      <w:r w:rsidRPr="008A7086">
        <w:rPr>
          <w:rFonts w:eastAsia="Calibri"/>
          <w:sz w:val="28"/>
          <w:szCs w:val="28"/>
          <w:lang w:eastAsia="en-US"/>
        </w:rPr>
        <w:t xml:space="preserve"> включают:                                                              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                                                                                                                  2) умение планировать пути достижения целей, в том числе альтернативные, выбирать наиболее эффективные способы решения учебных и познавательных задач;                                                                                                     </w:t>
      </w:r>
      <w:proofErr w:type="gramStart"/>
      <w:r w:rsidRPr="008A7086">
        <w:rPr>
          <w:rFonts w:eastAsia="Calibri"/>
          <w:sz w:val="28"/>
          <w:szCs w:val="28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                                                                                                                      4) умение оценивать правильность выполнения учебной задачи, собственные возможности её решения;                                                                                                  5) умение организовывать учебное сотрудничество и совместную деятельность с учителем и сверстниками;</w:t>
      </w:r>
      <w:proofErr w:type="gramEnd"/>
      <w:r w:rsidRPr="008A7086">
        <w:rPr>
          <w:rFonts w:eastAsia="Calibri"/>
          <w:sz w:val="28"/>
          <w:szCs w:val="28"/>
          <w:lang w:eastAsia="en-US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                                                                                               6) формирование и развитие компетентности в области использования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8A7086">
        <w:rPr>
          <w:rFonts w:eastAsia="Calibri"/>
          <w:sz w:val="28"/>
          <w:szCs w:val="28"/>
          <w:lang w:eastAsia="en-US"/>
        </w:rPr>
        <w:t>информационно-коммуникационных технологий (ИК</w:t>
      </w:r>
      <w:proofErr w:type="gramStart"/>
      <w:r w:rsidRPr="008A7086">
        <w:rPr>
          <w:rFonts w:eastAsia="Calibri"/>
          <w:sz w:val="28"/>
          <w:szCs w:val="28"/>
          <w:lang w:eastAsia="en-US"/>
        </w:rPr>
        <w:t>Т-</w:t>
      </w:r>
      <w:proofErr w:type="gramEnd"/>
      <w:r w:rsidRPr="008A7086">
        <w:rPr>
          <w:rFonts w:eastAsia="Calibri"/>
          <w:sz w:val="28"/>
          <w:szCs w:val="28"/>
          <w:lang w:eastAsia="en-US"/>
        </w:rPr>
        <w:t xml:space="preserve"> компетенции).</w:t>
      </w:r>
    </w:p>
    <w:p w:rsidR="00E6747A" w:rsidRDefault="00E6747A" w:rsidP="00E6747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B6C9F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        Предметные результаты</w:t>
      </w:r>
      <w:r w:rsidRPr="002B6C9F">
        <w:rPr>
          <w:rFonts w:eastAsia="Calibri"/>
          <w:i/>
          <w:sz w:val="28"/>
          <w:szCs w:val="28"/>
          <w:lang w:eastAsia="en-US"/>
        </w:rPr>
        <w:t xml:space="preserve">:                                                                                          </w:t>
      </w:r>
      <w:r w:rsidRPr="008A7086">
        <w:rPr>
          <w:rFonts w:eastAsia="Calibri"/>
          <w:sz w:val="28"/>
          <w:szCs w:val="28"/>
          <w:lang w:eastAsia="en-US"/>
        </w:rPr>
        <w:t xml:space="preserve">1) основополагающие знания о природе России как целостной развивающейся системе, о единстве человека и природы;                                                                     2) элементарные практические умения использования приборов и инструментов  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                                3) первичные навыки нахождения, использования и презентации географической информации;                                                                                          </w:t>
      </w:r>
      <w:proofErr w:type="gramStart"/>
      <w:r w:rsidRPr="008A7086">
        <w:rPr>
          <w:rFonts w:eastAsia="Calibri"/>
          <w:sz w:val="28"/>
          <w:szCs w:val="28"/>
          <w:lang w:eastAsia="en-US"/>
        </w:rPr>
        <w:t>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  <w:proofErr w:type="gramEnd"/>
    </w:p>
    <w:p w:rsidR="00E6747A" w:rsidRPr="008A7086" w:rsidRDefault="00E6747A" w:rsidP="00E6747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A7086">
        <w:rPr>
          <w:rFonts w:eastAsia="Calibri"/>
          <w:sz w:val="28"/>
          <w:szCs w:val="28"/>
          <w:lang w:eastAsia="en-US"/>
        </w:rPr>
        <w:t>5)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E6747A" w:rsidRPr="008A7086" w:rsidRDefault="00E6747A" w:rsidP="00E6747A">
      <w:pPr>
        <w:spacing w:line="360" w:lineRule="auto"/>
        <w:ind w:firstLine="540"/>
        <w:jc w:val="both"/>
        <w:rPr>
          <w:sz w:val="28"/>
          <w:szCs w:val="28"/>
        </w:rPr>
      </w:pPr>
      <w:r w:rsidRPr="008A7086">
        <w:rPr>
          <w:b/>
          <w:i/>
          <w:sz w:val="28"/>
          <w:szCs w:val="28"/>
        </w:rPr>
        <w:t>В ходе реализации программы экологического кружка учащиеся должны проявлять:</w:t>
      </w:r>
    </w:p>
    <w:p w:rsidR="00E6747A" w:rsidRPr="008A7086" w:rsidRDefault="00E6747A" w:rsidP="00E6747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познавательный интерес к изучению природы, роли человека в ней;</w:t>
      </w:r>
    </w:p>
    <w:p w:rsidR="00E6747A" w:rsidRPr="008A7086" w:rsidRDefault="00E6747A" w:rsidP="00E6747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бережное отношение к природе;</w:t>
      </w:r>
    </w:p>
    <w:p w:rsidR="00E6747A" w:rsidRPr="008A7086" w:rsidRDefault="00E6747A" w:rsidP="00E6747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творческую активность к познанию окружающего мира и своего места в нём, при этом соблюдая основное правило поведения в природе: не навреди!</w:t>
      </w:r>
    </w:p>
    <w:p w:rsidR="00E6747A" w:rsidRPr="008A7086" w:rsidRDefault="00E6747A" w:rsidP="00E6747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 xml:space="preserve">самоопределение себя как личности, способной к </w:t>
      </w:r>
      <w:proofErr w:type="spellStart"/>
      <w:r w:rsidRPr="008A7086">
        <w:rPr>
          <w:sz w:val="28"/>
          <w:szCs w:val="28"/>
        </w:rPr>
        <w:t>саморегуляции</w:t>
      </w:r>
      <w:proofErr w:type="spellEnd"/>
      <w:r w:rsidRPr="008A7086">
        <w:rPr>
          <w:sz w:val="28"/>
          <w:szCs w:val="28"/>
        </w:rPr>
        <w:t>;</w:t>
      </w:r>
    </w:p>
    <w:p w:rsidR="00E6747A" w:rsidRPr="008A7086" w:rsidRDefault="00E6747A" w:rsidP="00E6747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lastRenderedPageBreak/>
        <w:t>духовно-нравственные качества, восприятие себя как человека и гражданина.</w:t>
      </w:r>
    </w:p>
    <w:p w:rsidR="00E6747A" w:rsidRPr="002B6C9F" w:rsidRDefault="00E6747A" w:rsidP="00E6747A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К концу года учащиеся должны знать: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предмет изучения экологии, основные законы экологии;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 xml:space="preserve">связь между человеком и природой; 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многообразие экологических групп комнатных растений;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основные экологические проблемы родного края и пути их решения;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природу родного края;</w:t>
      </w:r>
    </w:p>
    <w:p w:rsidR="00E6747A" w:rsidRPr="008A7086" w:rsidRDefault="00E6747A" w:rsidP="00E6747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связь между состоянием природы и здоровьем человека.</w:t>
      </w:r>
    </w:p>
    <w:p w:rsidR="00E6747A" w:rsidRPr="002B6C9F" w:rsidRDefault="00E6747A" w:rsidP="00E6747A">
      <w:pPr>
        <w:spacing w:line="360" w:lineRule="auto"/>
        <w:contextualSpacing/>
        <w:jc w:val="both"/>
        <w:rPr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К концу года учащиеся должны уметь</w:t>
      </w:r>
      <w:r w:rsidRPr="002B6C9F">
        <w:rPr>
          <w:i/>
          <w:sz w:val="28"/>
          <w:szCs w:val="28"/>
        </w:rPr>
        <w:t>: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 xml:space="preserve">изготавливать гербарий, </w:t>
      </w:r>
      <w:r w:rsidRPr="008A7086">
        <w:rPr>
          <w:rFonts w:ascii="Georgia" w:hAnsi="Georgia"/>
          <w:color w:val="000000"/>
          <w:sz w:val="28"/>
          <w:szCs w:val="28"/>
        </w:rPr>
        <w:t>поделки из природных материалов;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различать изученные группы растений и животных;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осуществлять систематический уход за живыми организмами;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изготовлять экологические памятки, этикетки комнатных растений;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вести наблюдения в природе под руководством учителя;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выполнять правила поведения в природе;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прокладывать маршрут экологической тропы;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уметь защищать свой проект, отстаивать свою позицию;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изготавливать листовки, газеты, выполнять рисунки на экологическую тематику;</w:t>
      </w:r>
    </w:p>
    <w:p w:rsidR="00E6747A" w:rsidRPr="008A7086" w:rsidRDefault="00E6747A" w:rsidP="00E6747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участвовать в экологических викторинах, конкурсах, спектаклях.</w:t>
      </w:r>
    </w:p>
    <w:p w:rsidR="00E6747A" w:rsidRPr="002B6C9F" w:rsidRDefault="00E6747A" w:rsidP="00E6747A">
      <w:pPr>
        <w:spacing w:line="360" w:lineRule="auto"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Формы подведения итогов:</w:t>
      </w:r>
    </w:p>
    <w:p w:rsidR="00E6747A" w:rsidRPr="008A7086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выставки рисунков;</w:t>
      </w:r>
    </w:p>
    <w:p w:rsidR="00E6747A" w:rsidRPr="008A7086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фотовыставки;</w:t>
      </w:r>
    </w:p>
    <w:p w:rsidR="00E6747A" w:rsidRPr="008A7086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листовки, буклеты, газеты;</w:t>
      </w:r>
    </w:p>
    <w:p w:rsidR="00E6747A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тематические альбомы;</w:t>
      </w:r>
    </w:p>
    <w:p w:rsidR="00E6747A" w:rsidRPr="008A7086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проектов;</w:t>
      </w:r>
    </w:p>
    <w:p w:rsidR="00E6747A" w:rsidRPr="001343E0" w:rsidRDefault="00E6747A" w:rsidP="00E6747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театрализация.</w:t>
      </w:r>
    </w:p>
    <w:p w:rsidR="00390985" w:rsidRDefault="00390985"/>
    <w:sectPr w:rsidR="0039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F60"/>
    <w:multiLevelType w:val="hybridMultilevel"/>
    <w:tmpl w:val="58DEC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26E"/>
    <w:multiLevelType w:val="hybridMultilevel"/>
    <w:tmpl w:val="AD529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36CED"/>
    <w:multiLevelType w:val="hybridMultilevel"/>
    <w:tmpl w:val="7A487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B144A"/>
    <w:multiLevelType w:val="hybridMultilevel"/>
    <w:tmpl w:val="E09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235D8"/>
    <w:multiLevelType w:val="hybridMultilevel"/>
    <w:tmpl w:val="DB70E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B30D6"/>
    <w:multiLevelType w:val="hybridMultilevel"/>
    <w:tmpl w:val="9B8C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A2AA5"/>
    <w:multiLevelType w:val="hybridMultilevel"/>
    <w:tmpl w:val="6DCA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43F20"/>
    <w:multiLevelType w:val="hybridMultilevel"/>
    <w:tmpl w:val="E2126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63058"/>
    <w:multiLevelType w:val="hybridMultilevel"/>
    <w:tmpl w:val="B4B07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47A"/>
    <w:rsid w:val="00390985"/>
    <w:rsid w:val="00E6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9177</Characters>
  <Application>Microsoft Office Word</Application>
  <DocSecurity>0</DocSecurity>
  <Lines>76</Lines>
  <Paragraphs>21</Paragraphs>
  <ScaleCrop>false</ScaleCrop>
  <Company>School128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2021-06-03T12:22:00Z</dcterms:created>
  <dcterms:modified xsi:type="dcterms:W3CDTF">2021-06-03T12:22:00Z</dcterms:modified>
</cp:coreProperties>
</file>